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5B5" w:rsidRDefault="00DD521B">
      <w:pPr>
        <w:pStyle w:val="papertitle"/>
        <w:rPr>
          <w:rFonts w:eastAsia="MS Mincho"/>
        </w:rPr>
      </w:pPr>
      <w:r w:rsidRPr="00DD521B">
        <w:rPr>
          <w:rFonts w:eastAsia="MS Mincho"/>
          <w:b/>
          <w:bCs w:val="0"/>
          <w:i/>
          <w:iCs/>
        </w:rPr>
        <w:t>Virtual Learning for People with Hearing Impairs</w:t>
      </w:r>
    </w:p>
    <w:p w:rsidR="008A55B5" w:rsidRDefault="008A55B5">
      <w:pPr>
        <w:rPr>
          <w:rFonts w:eastAsia="MS Mincho"/>
        </w:rPr>
      </w:pPr>
    </w:p>
    <w:p w:rsidR="008A55B5" w:rsidRDefault="008A55B5">
      <w:pPr>
        <w:pStyle w:val="Author"/>
        <w:rPr>
          <w:rFonts w:eastAsia="MS Mincho"/>
        </w:rPr>
        <w:sectPr w:rsidR="008A55B5" w:rsidSect="006C4648">
          <w:pgSz w:w="11909" w:h="16834" w:code="9"/>
          <w:pgMar w:top="1080" w:right="734" w:bottom="2434" w:left="734" w:header="720" w:footer="720" w:gutter="0"/>
          <w:cols w:space="720"/>
          <w:docGrid w:linePitch="360"/>
        </w:sectPr>
      </w:pPr>
    </w:p>
    <w:p w:rsidR="008A55B5" w:rsidRDefault="00DD521B">
      <w:pPr>
        <w:pStyle w:val="Author"/>
        <w:rPr>
          <w:rFonts w:eastAsia="MS Mincho"/>
        </w:rPr>
      </w:pPr>
      <w:r w:rsidRPr="00DD521B">
        <w:rPr>
          <w:rFonts w:eastAsia="MS Mincho"/>
          <w:i/>
        </w:rPr>
        <w:lastRenderedPageBreak/>
        <w:t>Danil Dintsis</w:t>
      </w:r>
      <w:r>
        <w:rPr>
          <w:rFonts w:eastAsia="MS Mincho"/>
          <w:i/>
        </w:rPr>
        <w:t>, Ph. D.</w:t>
      </w:r>
    </w:p>
    <w:p w:rsidR="008A55B5" w:rsidRDefault="00DD521B">
      <w:pPr>
        <w:pStyle w:val="Affiliation"/>
        <w:rPr>
          <w:rFonts w:eastAsia="MS Mincho"/>
        </w:rPr>
      </w:pPr>
      <w:r>
        <w:rPr>
          <w:rFonts w:eastAsia="MS Mincho"/>
          <w:i/>
        </w:rPr>
        <w:t>PE Dintsis</w:t>
      </w:r>
    </w:p>
    <w:p w:rsidR="008A55B5" w:rsidRDefault="00DD521B">
      <w:pPr>
        <w:pStyle w:val="Affiliation"/>
        <w:rPr>
          <w:rFonts w:eastAsia="MS Mincho"/>
        </w:rPr>
      </w:pPr>
      <w:r>
        <w:rPr>
          <w:rFonts w:eastAsia="MS Mincho"/>
        </w:rPr>
        <w:t>Moscow</w:t>
      </w:r>
      <w:r w:rsidR="008A55B5">
        <w:rPr>
          <w:rFonts w:eastAsia="MS Mincho"/>
        </w:rPr>
        <w:t xml:space="preserve">, </w:t>
      </w:r>
      <w:r>
        <w:rPr>
          <w:rFonts w:eastAsia="MS Mincho"/>
        </w:rPr>
        <w:t>Russian Fed.</w:t>
      </w:r>
    </w:p>
    <w:p w:rsidR="00D62255" w:rsidRDefault="00D62255">
      <w:pPr>
        <w:pStyle w:val="Affiliation"/>
        <w:rPr>
          <w:rFonts w:eastAsia="MS Mincho"/>
        </w:rPr>
      </w:pPr>
      <w:r>
        <w:rPr>
          <w:rFonts w:eastAsia="MS Mincho"/>
        </w:rPr>
        <w:t>consult@dintsis.org</w:t>
      </w:r>
    </w:p>
    <w:p w:rsidR="008A55B5" w:rsidRDefault="00DD521B">
      <w:pPr>
        <w:pStyle w:val="Author"/>
        <w:rPr>
          <w:rFonts w:eastAsia="MS Mincho"/>
        </w:rPr>
      </w:pPr>
      <w:r>
        <w:rPr>
          <w:rFonts w:eastAsia="MS Mincho"/>
          <w:i/>
        </w:rPr>
        <w:lastRenderedPageBreak/>
        <w:t>Alexander Bredikhin</w:t>
      </w:r>
    </w:p>
    <w:p w:rsidR="008A55B5" w:rsidRDefault="00D62255">
      <w:pPr>
        <w:pStyle w:val="Affiliation"/>
        <w:rPr>
          <w:rFonts w:eastAsia="MS Mincho"/>
        </w:rPr>
      </w:pPr>
      <w:r>
        <w:rPr>
          <w:rFonts w:eastAsia="MS Mincho"/>
          <w:i/>
        </w:rPr>
        <w:t>ITFORYOU</w:t>
      </w:r>
    </w:p>
    <w:p w:rsidR="008A55B5" w:rsidRDefault="00D62255">
      <w:pPr>
        <w:pStyle w:val="Affiliation"/>
        <w:rPr>
          <w:rFonts w:eastAsia="MS Mincho"/>
        </w:rPr>
      </w:pPr>
      <w:r>
        <w:rPr>
          <w:rFonts w:eastAsia="MS Mincho"/>
        </w:rPr>
        <w:t>Moscow</w:t>
      </w:r>
      <w:r w:rsidR="008A55B5">
        <w:rPr>
          <w:rFonts w:eastAsia="MS Mincho"/>
        </w:rPr>
        <w:t xml:space="preserve">, </w:t>
      </w:r>
      <w:r>
        <w:rPr>
          <w:rFonts w:eastAsia="MS Mincho"/>
        </w:rPr>
        <w:t>Russian Fed.</w:t>
      </w:r>
    </w:p>
    <w:p w:rsidR="008A55B5" w:rsidRDefault="00D62255">
      <w:pPr>
        <w:pStyle w:val="Affiliation"/>
        <w:rPr>
          <w:rFonts w:eastAsia="MS Mincho"/>
        </w:rPr>
        <w:sectPr w:rsidR="008A55B5" w:rsidSect="006C4648">
          <w:type w:val="continuous"/>
          <w:pgSz w:w="11909" w:h="16834" w:code="9"/>
          <w:pgMar w:top="1080" w:right="734" w:bottom="2434" w:left="734" w:header="720" w:footer="720" w:gutter="0"/>
          <w:cols w:num="2" w:space="720" w:equalWidth="0">
            <w:col w:w="4860" w:space="720"/>
            <w:col w:w="4860"/>
          </w:cols>
          <w:docGrid w:linePitch="360"/>
        </w:sectPr>
      </w:pPr>
      <w:r>
        <w:rPr>
          <w:rFonts w:eastAsia="MS Mincho"/>
        </w:rPr>
        <w:t>ab@itforyou.pro</w:t>
      </w:r>
    </w:p>
    <w:p w:rsidR="008A55B5" w:rsidRDefault="008A55B5">
      <w:pPr>
        <w:pStyle w:val="Affiliation"/>
        <w:rPr>
          <w:rFonts w:eastAsia="MS Mincho"/>
        </w:rPr>
      </w:pPr>
    </w:p>
    <w:p w:rsidR="008A55B5" w:rsidRDefault="008A55B5">
      <w:pPr>
        <w:rPr>
          <w:rFonts w:eastAsia="MS Mincho"/>
        </w:rPr>
      </w:pPr>
    </w:p>
    <w:p w:rsidR="008A55B5" w:rsidRDefault="008A55B5">
      <w:pPr>
        <w:rPr>
          <w:rFonts w:eastAsia="MS Mincho"/>
        </w:rPr>
        <w:sectPr w:rsidR="008A55B5" w:rsidSect="006C4648">
          <w:type w:val="continuous"/>
          <w:pgSz w:w="11909" w:h="16834" w:code="9"/>
          <w:pgMar w:top="1080" w:right="734" w:bottom="2434" w:left="734" w:header="720" w:footer="720" w:gutter="0"/>
          <w:cols w:space="720"/>
          <w:docGrid w:linePitch="360"/>
        </w:sectPr>
      </w:pPr>
    </w:p>
    <w:p w:rsidR="008A55B5" w:rsidRDefault="00925B25">
      <w:pPr>
        <w:pStyle w:val="Abstract"/>
        <w:rPr>
          <w:rFonts w:eastAsia="MS Mincho"/>
        </w:rPr>
      </w:pPr>
      <w:r>
        <w:lastRenderedPageBreak/>
        <w:t>We develop and offer various</w:t>
      </w:r>
      <w:r w:rsidR="000E191D" w:rsidRPr="000E191D">
        <w:t xml:space="preserve"> training methods, which may help to involve students with hearing, impairs into a learning process</w:t>
      </w:r>
      <w:r w:rsidR="000E191D">
        <w:t xml:space="preserve">. </w:t>
      </w:r>
    </w:p>
    <w:p w:rsidR="008A55B5" w:rsidRDefault="0072064C">
      <w:pPr>
        <w:pStyle w:val="keywords"/>
        <w:rPr>
          <w:rFonts w:eastAsia="MS Mincho"/>
        </w:rPr>
      </w:pPr>
      <w:r>
        <w:rPr>
          <w:rFonts w:eastAsia="MS Mincho"/>
        </w:rPr>
        <w:t>Keywords—</w:t>
      </w:r>
      <w:r w:rsidR="00D937CC">
        <w:rPr>
          <w:rFonts w:eastAsia="MS Mincho"/>
        </w:rPr>
        <w:t>virtual learning, hearing impairs, hearing aid, students with disabilities</w:t>
      </w:r>
    </w:p>
    <w:p w:rsidR="008A55B5" w:rsidRDefault="009A47DD" w:rsidP="00CB1404">
      <w:pPr>
        <w:pStyle w:val="1"/>
      </w:pPr>
      <w:r>
        <w:t xml:space="preserve"> Introduction</w:t>
      </w:r>
    </w:p>
    <w:p w:rsidR="009A47DD" w:rsidRDefault="009A47DD" w:rsidP="009A47DD">
      <w:pPr>
        <w:pStyle w:val="a3"/>
      </w:pPr>
      <w:r>
        <w:t>The World Health organization (WHO) declares that more than 10% of people on the Earth suffers with different hearing impairs. Students with hearing impairs often have certain difficulties while class trainings, especially if they do not use special hearing aids. Either many students don’t use special devices due to medical recommendations or having scruples (the last reason is for youths mostly).</w:t>
      </w:r>
    </w:p>
    <w:p w:rsidR="009A47DD" w:rsidRDefault="009A47DD" w:rsidP="009A47DD">
      <w:pPr>
        <w:pStyle w:val="a3"/>
      </w:pPr>
      <w:r>
        <w:t xml:space="preserve">Our team of scientists, engineers, programmers and learning specialists deliver a special technology (named as </w:t>
      </w:r>
      <w:proofErr w:type="spellStart"/>
      <w:r>
        <w:t>Petralex</w:t>
      </w:r>
      <w:proofErr w:type="spellEnd"/>
      <w:r>
        <w:t xml:space="preserve">) to improve quality of life for people with hearing impairs. The </w:t>
      </w:r>
      <w:proofErr w:type="spellStart"/>
      <w:r>
        <w:t>Petralex</w:t>
      </w:r>
      <w:proofErr w:type="spellEnd"/>
      <w:r>
        <w:t xml:space="preserve"> is a set of mobile Apps and Windows drivers, which works as a personal hearing assistant [1]. A student passes a simple hearing test and the application creates a set of his/her own profiles according to different environment (for example, street, home, classroom, work area, etc.). The </w:t>
      </w:r>
      <w:proofErr w:type="spellStart"/>
      <w:r>
        <w:t>Petralex</w:t>
      </w:r>
      <w:proofErr w:type="spellEnd"/>
      <w:r>
        <w:t xml:space="preserve"> driver creates a Virtual audio device (VAD), which implements an appropriate user’s hearing profile.</w:t>
      </w:r>
    </w:p>
    <w:p w:rsidR="008A55B5" w:rsidRDefault="009A47DD" w:rsidP="009A47DD">
      <w:pPr>
        <w:pStyle w:val="a3"/>
      </w:pPr>
      <w:r>
        <w:t xml:space="preserve">Virtual learning (as defined in [2]) may be synchronous, asynchronous, or blended. All methods include on-line or off-line listening to training materials (videos, podcasts), and on-line training delivers a service of a real-time discussion with a trainer and other classmates. In all these cases, a student has a strong need in audio communication abilities. </w:t>
      </w:r>
      <w:proofErr w:type="gramStart"/>
      <w:r>
        <w:t>S(</w:t>
      </w:r>
      <w:proofErr w:type="gramEnd"/>
      <w:r>
        <w:t>h)e should concentrate his/her attention on a training not listening.</w:t>
      </w:r>
    </w:p>
    <w:p w:rsidR="008A55B5" w:rsidRDefault="00DB6FB8" w:rsidP="00CB1404">
      <w:pPr>
        <w:pStyle w:val="1"/>
      </w:pPr>
      <w:r>
        <w:t xml:space="preserve">Synchromous learning </w:t>
      </w:r>
      <w:r w:rsidR="008B0123">
        <w:t>methods</w:t>
      </w:r>
    </w:p>
    <w:p w:rsidR="00DB6FB8" w:rsidRDefault="00DB6FB8" w:rsidP="00DB6FB8">
      <w:pPr>
        <w:pStyle w:val="a3"/>
      </w:pPr>
      <w:r>
        <w:t xml:space="preserve">First, let us discuss the synchronous learning tools: on-line webinars as an example. A student who has some hearing impairs, may feel uncomfortable while studying in class, if </w:t>
      </w:r>
      <w:proofErr w:type="gramStart"/>
      <w:r>
        <w:t>s(</w:t>
      </w:r>
      <w:proofErr w:type="gramEnd"/>
      <w:r>
        <w:t xml:space="preserve">he) hears a teacher or his classmates not clear enough. As a result, a student may concentrate on hearing instead studying. </w:t>
      </w:r>
    </w:p>
    <w:p w:rsidR="00DB6FB8" w:rsidRDefault="00DB6FB8" w:rsidP="00F00AEC">
      <w:pPr>
        <w:pStyle w:val="a3"/>
      </w:pPr>
      <w:r>
        <w:t xml:space="preserve">Synchronous virtual learning tools deliver training content in an on-line mode: trainer, class, video and audio, training materials sharing, tests, etc. At fig. 1. </w:t>
      </w:r>
      <w:proofErr w:type="gramStart"/>
      <w:r>
        <w:t>we</w:t>
      </w:r>
      <w:proofErr w:type="gramEnd"/>
      <w:r>
        <w:t xml:space="preserve"> show how a student gets access to a multimedia content in a real time. The main feature for students with hearing impairs is that the VAD transforms audio (trainer or classmates’ speech, audio content) in an on-line mode with 10-50 </w:t>
      </w:r>
      <w:proofErr w:type="spellStart"/>
      <w:r>
        <w:t>ms</w:t>
      </w:r>
      <w:proofErr w:type="spellEnd"/>
      <w:r>
        <w:t xml:space="preserve"> delay (delay depends on </w:t>
      </w:r>
      <w:r>
        <w:lastRenderedPageBreak/>
        <w:t xml:space="preserve">computer or smartphone technical features). A student can study for a long time due to improved hearing tolerance, reducing fatigue for long listening sessions, and attenuation of excessive sound pressure [1]. While training sessions we recommend students actively collaborate with a trainer, their classmates, as well as with other webinar colleagues. </w:t>
      </w:r>
    </w:p>
    <w:p w:rsidR="0058120E" w:rsidRDefault="0058120E" w:rsidP="00F00AEC">
      <w:pPr>
        <w:pStyle w:val="a3"/>
      </w:pPr>
      <w:r>
        <w:rPr>
          <w:noProof/>
          <w:lang w:val="ru-RU" w:eastAsia="ru-RU"/>
        </w:rPr>
        <w:drawing>
          <wp:inline distT="0" distB="0" distL="0" distR="0">
            <wp:extent cx="3200400" cy="165798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EIT_fig1.tif"/>
                    <pic:cNvPicPr/>
                  </pic:nvPicPr>
                  <pic:blipFill>
                    <a:blip r:embed="rId5">
                      <a:extLst>
                        <a:ext uri="{28A0092B-C50C-407E-A947-70E740481C1C}">
                          <a14:useLocalDpi xmlns:a14="http://schemas.microsoft.com/office/drawing/2010/main" val="0"/>
                        </a:ext>
                      </a:extLst>
                    </a:blip>
                    <a:stretch>
                      <a:fillRect/>
                    </a:stretch>
                  </pic:blipFill>
                  <pic:spPr>
                    <a:xfrm>
                      <a:off x="0" y="0"/>
                      <a:ext cx="3200400" cy="1657985"/>
                    </a:xfrm>
                    <a:prstGeom prst="rect">
                      <a:avLst/>
                    </a:prstGeom>
                  </pic:spPr>
                </pic:pic>
              </a:graphicData>
            </a:graphic>
          </wp:inline>
        </w:drawing>
      </w:r>
    </w:p>
    <w:p w:rsidR="00925B25" w:rsidRDefault="00F00AEC" w:rsidP="00F00AEC">
      <w:pPr>
        <w:pStyle w:val="a3"/>
      </w:pPr>
      <w:r>
        <w:t xml:space="preserve">Fig. 1. </w:t>
      </w:r>
      <w:proofErr w:type="spellStart"/>
      <w:r w:rsidR="00BF34AB">
        <w:t>Synchromous</w:t>
      </w:r>
      <w:proofErr w:type="spellEnd"/>
      <w:r w:rsidR="00BF34AB">
        <w:t xml:space="preserve"> learning schema</w:t>
      </w:r>
      <w:r w:rsidR="00925B25">
        <w:t>. Teacher’s voice transformation at a student’s device.</w:t>
      </w:r>
    </w:p>
    <w:p w:rsidR="00DB6FB8" w:rsidRDefault="00DB6FB8" w:rsidP="00DB6FB8">
      <w:pPr>
        <w:pStyle w:val="a3"/>
      </w:pPr>
      <w:r>
        <w:rPr>
          <w:i/>
          <w:iCs/>
          <w:noProof/>
          <w:spacing w:val="0"/>
        </w:rPr>
        <w:t xml:space="preserve">A. </w:t>
      </w:r>
      <w:r w:rsidRPr="00DB6FB8">
        <w:rPr>
          <w:i/>
          <w:iCs/>
          <w:noProof/>
          <w:spacing w:val="0"/>
        </w:rPr>
        <w:t>Typical learning cases for on-line trainings</w:t>
      </w:r>
      <w:r>
        <w:t>.</w:t>
      </w:r>
    </w:p>
    <w:p w:rsidR="008A55B5" w:rsidRDefault="00DB6FB8" w:rsidP="00DB6FB8">
      <w:pPr>
        <w:pStyle w:val="a3"/>
      </w:pPr>
      <w:r>
        <w:t>1.</w:t>
      </w:r>
      <w:r>
        <w:tab/>
        <w:t xml:space="preserve">A teacher explains learning materials, for example a theory. A student studies at home. </w:t>
      </w:r>
      <w:proofErr w:type="gramStart"/>
      <w:r>
        <w:t>S(</w:t>
      </w:r>
      <w:proofErr w:type="gramEnd"/>
      <w:r>
        <w:t>h)e activates  “home” profile, and can hear a teacher clearly. In case of misunderstanding, a student asks questions in the same manner as his/her classmates, and does not go behind the class.</w:t>
      </w:r>
    </w:p>
    <w:p w:rsidR="00DB6FB8" w:rsidRDefault="00DB6FB8" w:rsidP="00DB6FB8">
      <w:pPr>
        <w:pStyle w:val="a3"/>
      </w:pPr>
      <w:r>
        <w:t>2.</w:t>
      </w:r>
      <w:r>
        <w:tab/>
        <w:t xml:space="preserve">A business or other role game. For example, our student plays a role of a virtual team member. </w:t>
      </w:r>
      <w:proofErr w:type="gramStart"/>
      <w:r>
        <w:t>S(</w:t>
      </w:r>
      <w:proofErr w:type="gramEnd"/>
      <w:r>
        <w:t>h)e collaborates both with mates in class and/or online using VAD for better hearing mates. The virtual team plays its role, and all students get practical skills.</w:t>
      </w:r>
    </w:p>
    <w:p w:rsidR="00DB6FB8" w:rsidRDefault="00DB6FB8" w:rsidP="00DB6FB8">
      <w:pPr>
        <w:pStyle w:val="a3"/>
      </w:pPr>
      <w:r>
        <w:t>3.</w:t>
      </w:r>
      <w:r>
        <w:tab/>
        <w:t>Presenting an individual work, exercise. A student can present a work by means of an appropriate software tools (e.g. Skype, Citrix, WebEx, etc.), and discuss it with a teacher and classmates.</w:t>
      </w:r>
    </w:p>
    <w:p w:rsidR="008A55B5" w:rsidRPr="00CB1404" w:rsidRDefault="008B0123" w:rsidP="008B0123">
      <w:pPr>
        <w:pStyle w:val="1"/>
      </w:pPr>
      <w:r w:rsidRPr="008B0123">
        <w:t>asynchronous learning methods</w:t>
      </w:r>
    </w:p>
    <w:p w:rsidR="008B0123" w:rsidRDefault="008B0123" w:rsidP="008B0123">
      <w:pPr>
        <w:pStyle w:val="a3"/>
      </w:pPr>
      <w:r>
        <w:t>Second, let us consider learning scenarios for asynchronous learning methods. Asynchronous learning includes such tools as learning management systems (LMS), stream and offline video, audio, podcasts.</w:t>
      </w:r>
    </w:p>
    <w:p w:rsidR="008B0123" w:rsidRDefault="008B0123" w:rsidP="008B0123">
      <w:pPr>
        <w:pStyle w:val="a3"/>
      </w:pPr>
      <w:r>
        <w:t>As shown at fig. 2, audio signal inputs through the VAD, which transforms it according to an activated user hearing profile. A student can tale his/her studies at various locations, for example, we tested scenarios:</w:t>
      </w:r>
    </w:p>
    <w:p w:rsidR="002C474E" w:rsidRDefault="0058120E" w:rsidP="008B0123">
      <w:pPr>
        <w:pStyle w:val="a3"/>
      </w:pPr>
      <w:r>
        <w:rPr>
          <w:noProof/>
          <w:lang w:val="ru-RU" w:eastAsia="ru-RU"/>
        </w:rPr>
        <w:lastRenderedPageBreak/>
        <w:drawing>
          <wp:inline distT="0" distB="0" distL="0" distR="0">
            <wp:extent cx="3200400" cy="16579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EIT_fig2.tif"/>
                    <pic:cNvPicPr/>
                  </pic:nvPicPr>
                  <pic:blipFill>
                    <a:blip r:embed="rId6">
                      <a:extLst>
                        <a:ext uri="{28A0092B-C50C-407E-A947-70E740481C1C}">
                          <a14:useLocalDpi xmlns:a14="http://schemas.microsoft.com/office/drawing/2010/main" val="0"/>
                        </a:ext>
                      </a:extLst>
                    </a:blip>
                    <a:stretch>
                      <a:fillRect/>
                    </a:stretch>
                  </pic:blipFill>
                  <pic:spPr>
                    <a:xfrm>
                      <a:off x="0" y="0"/>
                      <a:ext cx="3200400" cy="1657985"/>
                    </a:xfrm>
                    <a:prstGeom prst="rect">
                      <a:avLst/>
                    </a:prstGeom>
                  </pic:spPr>
                </pic:pic>
              </a:graphicData>
            </a:graphic>
          </wp:inline>
        </w:drawing>
      </w:r>
    </w:p>
    <w:p w:rsidR="002C474E" w:rsidRDefault="002C474E" w:rsidP="008B0123">
      <w:pPr>
        <w:pStyle w:val="a3"/>
      </w:pPr>
      <w:r>
        <w:t>Fig. 2. Student’s attendance scenarios for asynchronous learning.</w:t>
      </w:r>
    </w:p>
    <w:p w:rsidR="008B0123" w:rsidRDefault="008B0123" w:rsidP="00215B82">
      <w:pPr>
        <w:pStyle w:val="a3"/>
        <w:numPr>
          <w:ilvl w:val="0"/>
          <w:numId w:val="13"/>
        </w:numPr>
      </w:pPr>
      <w:r>
        <w:t>In a special class,</w:t>
      </w:r>
    </w:p>
    <w:p w:rsidR="008B0123" w:rsidRDefault="008B0123" w:rsidP="00215B82">
      <w:pPr>
        <w:pStyle w:val="a3"/>
        <w:numPr>
          <w:ilvl w:val="0"/>
          <w:numId w:val="13"/>
        </w:numPr>
      </w:pPr>
      <w:r>
        <w:t>At home</w:t>
      </w:r>
    </w:p>
    <w:p w:rsidR="008B0123" w:rsidRDefault="008B0123" w:rsidP="00215B82">
      <w:pPr>
        <w:pStyle w:val="a3"/>
        <w:numPr>
          <w:ilvl w:val="0"/>
          <w:numId w:val="13"/>
        </w:numPr>
      </w:pPr>
      <w:r>
        <w:t>At a workplace</w:t>
      </w:r>
    </w:p>
    <w:p w:rsidR="008B0123" w:rsidRDefault="008B0123" w:rsidP="00215B82">
      <w:pPr>
        <w:pStyle w:val="a3"/>
        <w:numPr>
          <w:ilvl w:val="0"/>
          <w:numId w:val="13"/>
        </w:numPr>
      </w:pPr>
      <w:r>
        <w:t>On a beach.</w:t>
      </w:r>
    </w:p>
    <w:p w:rsidR="008B0123" w:rsidRDefault="008B0123" w:rsidP="008B0123">
      <w:pPr>
        <w:pStyle w:val="a3"/>
      </w:pPr>
      <w:r>
        <w:t xml:space="preserve"> </w:t>
      </w:r>
    </w:p>
    <w:p w:rsidR="008B0123" w:rsidRDefault="002C474E" w:rsidP="008B0123">
      <w:pPr>
        <w:pStyle w:val="a3"/>
      </w:pPr>
      <w:r>
        <w:t>A student takes</w:t>
      </w:r>
      <w:r w:rsidR="008B0123">
        <w:t xml:space="preserve"> studies in a blended format at a special class. We implement so-called “open classes” [3] training method. Students in a common class study different courses under a teacher supervision. Each student can use the VAD with the </w:t>
      </w:r>
      <w:proofErr w:type="spellStart"/>
      <w:r w:rsidR="008B0123">
        <w:t>Petralex</w:t>
      </w:r>
      <w:proofErr w:type="spellEnd"/>
      <w:r w:rsidR="008B0123">
        <w:t xml:space="preserve"> driver to make hearing to video and audio recordings comfortable and decrease surrounding noises.</w:t>
      </w:r>
    </w:p>
    <w:p w:rsidR="008B0123" w:rsidRDefault="008B0123" w:rsidP="008B0123">
      <w:pPr>
        <w:pStyle w:val="a3"/>
      </w:pPr>
      <w:r>
        <w:t>At home, a student can study video and audio training records using headsets at a comfortable level for a long time, and do not disturb a family with loud sound.</w:t>
      </w:r>
    </w:p>
    <w:p w:rsidR="008A55B5" w:rsidRDefault="008B0123" w:rsidP="008B0123">
      <w:pPr>
        <w:pStyle w:val="a3"/>
      </w:pPr>
      <w:r>
        <w:t>One of the most impressive cases in our practice is short-term learning for busy people during vacations or weekend. An adult student may combine a rest and studies. For example, a student creates a “beach” profile, and can listen learning records on a comfortable manner for his/her hearing</w:t>
      </w:r>
      <w:proofErr w:type="gramStart"/>
      <w:r>
        <w:t>.</w:t>
      </w:r>
      <w:r w:rsidR="008A55B5">
        <w:t>.</w:t>
      </w:r>
      <w:proofErr w:type="gramEnd"/>
    </w:p>
    <w:p w:rsidR="008A55B5" w:rsidRDefault="00215B82" w:rsidP="00215B82">
      <w:pPr>
        <w:pStyle w:val="1"/>
      </w:pPr>
      <w:r w:rsidRPr="00215B82">
        <w:t>an inverted schema of audio transformation.</w:t>
      </w:r>
    </w:p>
    <w:p w:rsidR="00215B82" w:rsidRDefault="00215B82" w:rsidP="00215B82">
      <w:pPr>
        <w:pStyle w:val="a3"/>
      </w:pPr>
      <w:r>
        <w:t>The third case implements an inverted schema of audio transformation.</w:t>
      </w:r>
    </w:p>
    <w:p w:rsidR="004B73BC" w:rsidRDefault="007C095F" w:rsidP="00215B82">
      <w:pPr>
        <w:pStyle w:val="a3"/>
      </w:pPr>
      <w:bookmarkStart w:id="0" w:name="_GoBack"/>
      <w:r>
        <w:rPr>
          <w:noProof/>
          <w:lang w:val="ru-RU" w:eastAsia="ru-RU"/>
        </w:rPr>
        <w:lastRenderedPageBreak/>
        <w:drawing>
          <wp:inline distT="0" distB="0" distL="0" distR="0">
            <wp:extent cx="3200400" cy="16579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EIT_fig3.tif"/>
                    <pic:cNvPicPr/>
                  </pic:nvPicPr>
                  <pic:blipFill>
                    <a:blip r:embed="rId7">
                      <a:extLst>
                        <a:ext uri="{28A0092B-C50C-407E-A947-70E740481C1C}">
                          <a14:useLocalDpi xmlns:a14="http://schemas.microsoft.com/office/drawing/2010/main" val="0"/>
                        </a:ext>
                      </a:extLst>
                    </a:blip>
                    <a:stretch>
                      <a:fillRect/>
                    </a:stretch>
                  </pic:blipFill>
                  <pic:spPr>
                    <a:xfrm>
                      <a:off x="0" y="0"/>
                      <a:ext cx="3200400" cy="1657985"/>
                    </a:xfrm>
                    <a:prstGeom prst="rect">
                      <a:avLst/>
                    </a:prstGeom>
                  </pic:spPr>
                </pic:pic>
              </a:graphicData>
            </a:graphic>
          </wp:inline>
        </w:drawing>
      </w:r>
      <w:bookmarkEnd w:id="0"/>
    </w:p>
    <w:p w:rsidR="004B73BC" w:rsidRDefault="004B73BC" w:rsidP="00215B82">
      <w:pPr>
        <w:pStyle w:val="a3"/>
      </w:pPr>
      <w:r>
        <w:t xml:space="preserve">Fig. 3. </w:t>
      </w:r>
      <w:r w:rsidR="00BF34AB">
        <w:t>The inverted</w:t>
      </w:r>
      <w:r>
        <w:t xml:space="preserve"> schema</w:t>
      </w:r>
      <w:r w:rsidR="00BF34AB">
        <w:t xml:space="preserve"> of audio transformation</w:t>
      </w:r>
      <w:r w:rsidR="00F116B7">
        <w:t>. Teacher’s voice transforms to be more persuasive and expressive.</w:t>
      </w:r>
    </w:p>
    <w:p w:rsidR="008A55B5" w:rsidRDefault="00215B82" w:rsidP="002C474E">
      <w:pPr>
        <w:pStyle w:val="a3"/>
      </w:pPr>
      <w:r>
        <w:t xml:space="preserve">The </w:t>
      </w:r>
      <w:proofErr w:type="spellStart"/>
      <w:r>
        <w:t>Petralex</w:t>
      </w:r>
      <w:proofErr w:type="spellEnd"/>
      <w:r>
        <w:t xml:space="preserve"> audio driver can transform </w:t>
      </w:r>
      <w:proofErr w:type="gramStart"/>
      <w:r>
        <w:t>a presenter’s (teacher’s)</w:t>
      </w:r>
      <w:proofErr w:type="gramEnd"/>
      <w:r>
        <w:t xml:space="preserve"> voice and make it more expressive, persuasive in an on-line mode, cuts extraneous sounds in a teacher’s speech such as smacking and/or aspiration, for example. These features are valuable for both on-line trainings and asynchronous access to training video, audio podcasts.</w:t>
      </w:r>
    </w:p>
    <w:p w:rsidR="00215B82" w:rsidRDefault="00215B82" w:rsidP="00215B82">
      <w:pPr>
        <w:pStyle w:val="a3"/>
      </w:pPr>
      <w:r w:rsidRPr="00215B82">
        <w:t xml:space="preserve">To summarize this review we would like to underline that combining of modern technical equipment and software, special tools as </w:t>
      </w:r>
      <w:proofErr w:type="spellStart"/>
      <w:r w:rsidRPr="00215B82">
        <w:t>Petralex</w:t>
      </w:r>
      <w:proofErr w:type="spellEnd"/>
      <w:r w:rsidRPr="00215B82">
        <w:t xml:space="preserve"> can deliver the whole spectrum of synchronous, asynchronous, blended learning for different kinds of students: youth, adults, busy, and people with disabilities.</w:t>
      </w:r>
    </w:p>
    <w:p w:rsidR="008A55B5" w:rsidRDefault="00215B82">
      <w:pPr>
        <w:pStyle w:val="5"/>
        <w:rPr>
          <w:rFonts w:eastAsia="MS Mincho"/>
        </w:rPr>
      </w:pPr>
      <w:r>
        <w:rPr>
          <w:rFonts w:eastAsia="MS Mincho"/>
        </w:rPr>
        <w:t>Acknowledgment</w:t>
      </w:r>
    </w:p>
    <w:p w:rsidR="008A55B5" w:rsidRDefault="00215B82" w:rsidP="00753F7B">
      <w:pPr>
        <w:pStyle w:val="a3"/>
      </w:pPr>
      <w:r>
        <w:t xml:space="preserve">The Authors thank the </w:t>
      </w:r>
      <w:r w:rsidR="004B73BC">
        <w:t>Petralex.</w:t>
      </w:r>
      <w:r>
        <w:t>pro Company for support.</w:t>
      </w:r>
    </w:p>
    <w:p w:rsidR="00EE4362" w:rsidRDefault="00EE4362" w:rsidP="00EE4362">
      <w:pPr>
        <w:rPr>
          <w:rFonts w:eastAsia="MS Mincho"/>
        </w:rPr>
      </w:pPr>
    </w:p>
    <w:p w:rsidR="008A55B5" w:rsidRDefault="008A55B5">
      <w:pPr>
        <w:pStyle w:val="5"/>
        <w:rPr>
          <w:rFonts w:eastAsia="MS Mincho"/>
        </w:rPr>
      </w:pPr>
      <w:r>
        <w:rPr>
          <w:rFonts w:eastAsia="MS Mincho"/>
        </w:rPr>
        <w:t>References</w:t>
      </w:r>
    </w:p>
    <w:p w:rsidR="008A55B5" w:rsidRDefault="008A55B5">
      <w:pPr>
        <w:rPr>
          <w:rFonts w:eastAsia="MS Mincho"/>
        </w:rPr>
      </w:pPr>
    </w:p>
    <w:p w:rsidR="00215B82" w:rsidRPr="00215B82" w:rsidRDefault="00215B82" w:rsidP="00215B82">
      <w:pPr>
        <w:pStyle w:val="references"/>
        <w:rPr>
          <w:lang w:eastAsia="ru-RU"/>
        </w:rPr>
      </w:pPr>
      <w:r w:rsidRPr="00215B82">
        <w:rPr>
          <w:lang w:eastAsia="ru-RU"/>
        </w:rPr>
        <w:t>Elias Azarov, Maxim Vashkevich, Nick Petrovsky, Denis Likhachov, Alexander Petrovsky. Petralex: A multiplatform hearing aid application for real-life communications and listening to digital audio.</w:t>
      </w:r>
    </w:p>
    <w:p w:rsidR="00215B82" w:rsidRPr="00215B82" w:rsidRDefault="00215B82" w:rsidP="00215B82">
      <w:pPr>
        <w:pStyle w:val="references"/>
        <w:rPr>
          <w:lang w:val="ru-RU" w:eastAsia="ru-RU"/>
        </w:rPr>
      </w:pPr>
      <w:r w:rsidRPr="00215B82">
        <w:rPr>
          <w:lang w:eastAsia="ru-RU"/>
        </w:rPr>
        <w:t xml:space="preserve">Cindy Carbajal. Foundations of Virtual Instruction. Florida University. On-line course. </w:t>
      </w:r>
      <w:r w:rsidRPr="00215B82">
        <w:rPr>
          <w:lang w:val="ru-RU" w:eastAsia="ru-RU"/>
        </w:rPr>
        <w:t>2015.</w:t>
      </w:r>
    </w:p>
    <w:p w:rsidR="00215B82" w:rsidRPr="00215B82" w:rsidRDefault="00215B82" w:rsidP="00215B82">
      <w:pPr>
        <w:pStyle w:val="references"/>
        <w:rPr>
          <w:lang w:val="ru-RU" w:eastAsia="ru-RU"/>
        </w:rPr>
      </w:pPr>
      <w:r w:rsidRPr="00215B82">
        <w:rPr>
          <w:lang w:eastAsia="ru-RU"/>
        </w:rPr>
        <w:t xml:space="preserve">Danil Dintsis. Implementing fuzzy logic approach to developing portfolio of combined learning methods. </w:t>
      </w:r>
      <w:r w:rsidRPr="00215B82">
        <w:rPr>
          <w:lang w:val="ru-RU" w:eastAsia="ru-RU"/>
        </w:rPr>
        <w:t>10.13140/RG.2.1.1144.4643. 2015</w:t>
      </w:r>
    </w:p>
    <w:p w:rsidR="008A55B5" w:rsidRDefault="008A55B5" w:rsidP="00215B82">
      <w:pPr>
        <w:pStyle w:val="references"/>
        <w:numPr>
          <w:ilvl w:val="0"/>
          <w:numId w:val="0"/>
        </w:numPr>
        <w:ind w:left="360"/>
        <w:rPr>
          <w:rFonts w:eastAsia="MS Mincho"/>
        </w:rPr>
      </w:pPr>
    </w:p>
    <w:p w:rsidR="008A55B5" w:rsidRDefault="008A55B5">
      <w:pPr>
        <w:pStyle w:val="references"/>
        <w:rPr>
          <w:rFonts w:eastAsia="MS Mincho"/>
        </w:rPr>
        <w:sectPr w:rsidR="008A55B5" w:rsidSect="004445B3">
          <w:type w:val="continuous"/>
          <w:pgSz w:w="11909" w:h="16834" w:code="9"/>
          <w:pgMar w:top="1080" w:right="734" w:bottom="2434" w:left="734" w:header="720" w:footer="720" w:gutter="0"/>
          <w:cols w:num="2" w:space="360"/>
          <w:docGrid w:linePitch="360"/>
        </w:sectPr>
      </w:pPr>
    </w:p>
    <w:p w:rsidR="008A55B5" w:rsidRDefault="008A55B5" w:rsidP="00276735">
      <w:pPr>
        <w:jc w:val="both"/>
      </w:pPr>
    </w:p>
    <w:sectPr w:rsidR="008A55B5" w:rsidSect="006C4648">
      <w:type w:val="continuous"/>
      <w:pgSz w:w="11909" w:h="16834" w:code="9"/>
      <w:pgMar w:top="1080" w:right="734" w:bottom="2434" w:left="7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37660336"/>
    <w:multiLevelType w:val="hybridMultilevel"/>
    <w:tmpl w:val="78D27160"/>
    <w:lvl w:ilvl="0" w:tplc="FEF4713C">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15:restartNumberingAfterBreak="0">
    <w:nsid w:val="4189603E"/>
    <w:multiLevelType w:val="multilevel"/>
    <w:tmpl w:val="D4B4B71A"/>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15:restartNumberingAfterBreak="0">
    <w:nsid w:val="4E0C6125"/>
    <w:multiLevelType w:val="hybridMultilevel"/>
    <w:tmpl w:val="16ECA7A8"/>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6" w15:restartNumberingAfterBreak="0">
    <w:nsid w:val="52CA544A"/>
    <w:multiLevelType w:val="singleLevel"/>
    <w:tmpl w:val="987C499A"/>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6C402C58"/>
    <w:multiLevelType w:val="hybridMultilevel"/>
    <w:tmpl w:val="3C0611EA"/>
    <w:lvl w:ilvl="0" w:tplc="26887F82">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9" w15:restartNumberingAfterBreak="0">
    <w:nsid w:val="7CD255F0"/>
    <w:multiLevelType w:val="hybridMultilevel"/>
    <w:tmpl w:val="1BBC66D6"/>
    <w:lvl w:ilvl="0" w:tplc="BB425798">
      <w:start w:val="1"/>
      <w:numFmt w:val="lowerLetter"/>
      <w:pStyle w:val="tablefootnote"/>
      <w:lvlText w:val="%1."/>
      <w:lvlJc w:val="right"/>
      <w:pPr>
        <w:ind w:left="749"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num w:numId="1">
    <w:abstractNumId w:val="2"/>
  </w:num>
  <w:num w:numId="2">
    <w:abstractNumId w:val="7"/>
  </w:num>
  <w:num w:numId="3">
    <w:abstractNumId w:val="1"/>
  </w:num>
  <w:num w:numId="4">
    <w:abstractNumId w:val="4"/>
  </w:num>
  <w:num w:numId="5">
    <w:abstractNumId w:val="4"/>
  </w:num>
  <w:num w:numId="6">
    <w:abstractNumId w:val="4"/>
  </w:num>
  <w:num w:numId="7">
    <w:abstractNumId w:val="4"/>
  </w:num>
  <w:num w:numId="8">
    <w:abstractNumId w:val="6"/>
  </w:num>
  <w:num w:numId="9">
    <w:abstractNumId w:val="8"/>
  </w:num>
  <w:num w:numId="10">
    <w:abstractNumId w:val="3"/>
  </w:num>
  <w:num w:numId="11">
    <w:abstractNumId w:val="0"/>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21B"/>
    <w:rsid w:val="0004390D"/>
    <w:rsid w:val="000B4641"/>
    <w:rsid w:val="000E191D"/>
    <w:rsid w:val="0010711E"/>
    <w:rsid w:val="00127EDD"/>
    <w:rsid w:val="00190717"/>
    <w:rsid w:val="00215B82"/>
    <w:rsid w:val="00276735"/>
    <w:rsid w:val="002864A3"/>
    <w:rsid w:val="002B3B81"/>
    <w:rsid w:val="002C474E"/>
    <w:rsid w:val="003A47B5"/>
    <w:rsid w:val="003A59A6"/>
    <w:rsid w:val="004059FE"/>
    <w:rsid w:val="004445B3"/>
    <w:rsid w:val="004B73BC"/>
    <w:rsid w:val="0058120E"/>
    <w:rsid w:val="005B520E"/>
    <w:rsid w:val="005B535B"/>
    <w:rsid w:val="006108A4"/>
    <w:rsid w:val="006C4648"/>
    <w:rsid w:val="0072064C"/>
    <w:rsid w:val="007442B3"/>
    <w:rsid w:val="00753F7B"/>
    <w:rsid w:val="0078398E"/>
    <w:rsid w:val="00787C5A"/>
    <w:rsid w:val="007919DE"/>
    <w:rsid w:val="00793781"/>
    <w:rsid w:val="007C0308"/>
    <w:rsid w:val="007C095F"/>
    <w:rsid w:val="008014D2"/>
    <w:rsid w:val="008054BC"/>
    <w:rsid w:val="008A55B5"/>
    <w:rsid w:val="008A75C8"/>
    <w:rsid w:val="008B0123"/>
    <w:rsid w:val="00925B25"/>
    <w:rsid w:val="0097508D"/>
    <w:rsid w:val="00987613"/>
    <w:rsid w:val="009A47DD"/>
    <w:rsid w:val="00A21B82"/>
    <w:rsid w:val="00A510F7"/>
    <w:rsid w:val="00AC6519"/>
    <w:rsid w:val="00B732B8"/>
    <w:rsid w:val="00BF34AB"/>
    <w:rsid w:val="00CB1404"/>
    <w:rsid w:val="00CB66E6"/>
    <w:rsid w:val="00CC5A7A"/>
    <w:rsid w:val="00D62255"/>
    <w:rsid w:val="00D9156D"/>
    <w:rsid w:val="00D937CC"/>
    <w:rsid w:val="00DB6FB8"/>
    <w:rsid w:val="00DD521B"/>
    <w:rsid w:val="00E10FBE"/>
    <w:rsid w:val="00E50FBE"/>
    <w:rsid w:val="00E91219"/>
    <w:rsid w:val="00EA506F"/>
    <w:rsid w:val="00EE4362"/>
    <w:rsid w:val="00EF18D7"/>
    <w:rsid w:val="00EF1E8A"/>
    <w:rsid w:val="00EF3A1A"/>
    <w:rsid w:val="00F00AEC"/>
    <w:rsid w:val="00F116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29AA32E-059D-4F9A-8400-6DB955E06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535B"/>
    <w:pPr>
      <w:jc w:val="center"/>
    </w:pPr>
    <w:rPr>
      <w:rFonts w:ascii="Times New Roman" w:hAnsi="Times New Roman"/>
      <w:lang w:val="en-US" w:eastAsia="en-US"/>
    </w:rPr>
  </w:style>
  <w:style w:type="paragraph" w:styleId="1">
    <w:name w:val="heading 1"/>
    <w:basedOn w:val="a"/>
    <w:next w:val="a"/>
    <w:link w:val="10"/>
    <w:uiPriority w:val="99"/>
    <w:qFormat/>
    <w:rsid w:val="00CB1404"/>
    <w:pPr>
      <w:keepNext/>
      <w:keepLines/>
      <w:numPr>
        <w:numId w:val="4"/>
      </w:numPr>
      <w:tabs>
        <w:tab w:val="left" w:pos="216"/>
      </w:tabs>
      <w:spacing w:before="160" w:after="80"/>
      <w:ind w:firstLine="0"/>
      <w:outlineLvl w:val="0"/>
    </w:pPr>
    <w:rPr>
      <w:rFonts w:eastAsia="MS Mincho"/>
      <w:smallCaps/>
      <w:noProof/>
    </w:rPr>
  </w:style>
  <w:style w:type="paragraph" w:styleId="2">
    <w:name w:val="heading 2"/>
    <w:basedOn w:val="a"/>
    <w:next w:val="a"/>
    <w:link w:val="20"/>
    <w:uiPriority w:val="99"/>
    <w:qFormat/>
    <w:rsid w:val="00EF3A1A"/>
    <w:pPr>
      <w:keepNext/>
      <w:keepLines/>
      <w:numPr>
        <w:ilvl w:val="1"/>
        <w:numId w:val="5"/>
      </w:numPr>
      <w:tabs>
        <w:tab w:val="clear" w:pos="360"/>
        <w:tab w:val="num" w:pos="288"/>
      </w:tabs>
      <w:spacing w:before="120" w:after="60"/>
      <w:jc w:val="left"/>
      <w:outlineLvl w:val="1"/>
    </w:pPr>
    <w:rPr>
      <w:rFonts w:eastAsia="MS Mincho"/>
      <w:i/>
      <w:iCs/>
      <w:noProof/>
    </w:rPr>
  </w:style>
  <w:style w:type="paragraph" w:styleId="3">
    <w:name w:val="heading 3"/>
    <w:basedOn w:val="a"/>
    <w:next w:val="a"/>
    <w:link w:val="30"/>
    <w:uiPriority w:val="99"/>
    <w:qFormat/>
    <w:rsid w:val="004059FE"/>
    <w:pPr>
      <w:numPr>
        <w:ilvl w:val="2"/>
        <w:numId w:val="6"/>
      </w:numPr>
      <w:spacing w:line="240" w:lineRule="exact"/>
      <w:ind w:firstLine="288"/>
      <w:jc w:val="both"/>
      <w:outlineLvl w:val="2"/>
    </w:pPr>
    <w:rPr>
      <w:rFonts w:eastAsia="MS Mincho"/>
      <w:i/>
      <w:iCs/>
      <w:noProof/>
    </w:rPr>
  </w:style>
  <w:style w:type="paragraph" w:styleId="4">
    <w:name w:val="heading 4"/>
    <w:basedOn w:val="a"/>
    <w:next w:val="a"/>
    <w:link w:val="40"/>
    <w:uiPriority w:val="99"/>
    <w:qFormat/>
    <w:rsid w:val="004059FE"/>
    <w:pPr>
      <w:numPr>
        <w:ilvl w:val="3"/>
        <w:numId w:val="7"/>
      </w:numPr>
      <w:tabs>
        <w:tab w:val="left" w:pos="821"/>
      </w:tabs>
      <w:spacing w:before="40" w:after="40"/>
      <w:ind w:firstLine="504"/>
      <w:jc w:val="both"/>
      <w:outlineLvl w:val="3"/>
    </w:pPr>
    <w:rPr>
      <w:rFonts w:eastAsia="MS Mincho"/>
      <w:i/>
      <w:iCs/>
      <w:noProof/>
    </w:rPr>
  </w:style>
  <w:style w:type="paragraph" w:styleId="5">
    <w:name w:val="heading 5"/>
    <w:basedOn w:val="a"/>
    <w:next w:val="a"/>
    <w:link w:val="50"/>
    <w:uiPriority w:val="99"/>
    <w:qFormat/>
    <w:pPr>
      <w:tabs>
        <w:tab w:val="left" w:pos="360"/>
      </w:tabs>
      <w:spacing w:before="160" w:after="80"/>
      <w:outlineLvl w:val="4"/>
    </w:pPr>
    <w:rPr>
      <w:smallCaps/>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CB1404"/>
    <w:rPr>
      <w:rFonts w:ascii="Times New Roman" w:eastAsia="MS Mincho" w:hAnsi="Times New Roman"/>
      <w:smallCaps/>
      <w:noProof/>
    </w:rPr>
  </w:style>
  <w:style w:type="character" w:customStyle="1" w:styleId="20">
    <w:name w:val="Заголовок 2 Знак"/>
    <w:link w:val="2"/>
    <w:uiPriority w:val="99"/>
    <w:locked/>
    <w:rsid w:val="00EF3A1A"/>
    <w:rPr>
      <w:rFonts w:ascii="Times New Roman" w:eastAsia="MS Mincho" w:hAnsi="Times New Roman" w:cs="Times New Roman"/>
      <w:i/>
      <w:iCs/>
      <w:noProof/>
      <w:sz w:val="20"/>
      <w:szCs w:val="20"/>
    </w:rPr>
  </w:style>
  <w:style w:type="character" w:customStyle="1" w:styleId="30">
    <w:name w:val="Заголовок 3 Знак"/>
    <w:link w:val="3"/>
    <w:uiPriority w:val="99"/>
    <w:locked/>
    <w:rsid w:val="004059FE"/>
    <w:rPr>
      <w:rFonts w:ascii="Times New Roman" w:eastAsia="MS Mincho" w:hAnsi="Times New Roman" w:cs="Times New Roman"/>
      <w:i/>
      <w:iCs/>
      <w:noProof/>
      <w:sz w:val="20"/>
      <w:szCs w:val="20"/>
    </w:rPr>
  </w:style>
  <w:style w:type="character" w:customStyle="1" w:styleId="40">
    <w:name w:val="Заголовок 4 Знак"/>
    <w:link w:val="4"/>
    <w:uiPriority w:val="99"/>
    <w:locked/>
    <w:rsid w:val="004059FE"/>
    <w:rPr>
      <w:rFonts w:ascii="Times New Roman" w:eastAsia="MS Mincho" w:hAnsi="Times New Roman" w:cs="Times New Roman"/>
      <w:i/>
      <w:iCs/>
      <w:noProof/>
      <w:sz w:val="20"/>
      <w:szCs w:val="20"/>
    </w:rPr>
  </w:style>
  <w:style w:type="character" w:customStyle="1" w:styleId="50">
    <w:name w:val="Заголовок 5 Знак"/>
    <w:link w:val="5"/>
    <w:uiPriority w:val="9"/>
    <w:semiHidden/>
    <w:locked/>
    <w:rPr>
      <w:rFonts w:cs="Times New Roman"/>
      <w:b/>
      <w:bCs/>
      <w:i/>
      <w:iCs/>
      <w:sz w:val="26"/>
      <w:szCs w:val="26"/>
    </w:rPr>
  </w:style>
  <w:style w:type="paragraph" w:customStyle="1" w:styleId="Abstract">
    <w:name w:val="Abstract"/>
    <w:uiPriority w:val="99"/>
    <w:rsid w:val="0097508D"/>
    <w:pPr>
      <w:spacing w:after="200"/>
      <w:ind w:firstLine="274"/>
      <w:jc w:val="both"/>
    </w:pPr>
    <w:rPr>
      <w:rFonts w:ascii="Times New Roman" w:hAnsi="Times New Roman"/>
      <w:b/>
      <w:bCs/>
      <w:sz w:val="18"/>
      <w:szCs w:val="18"/>
      <w:lang w:val="en-US" w:eastAsia="en-US"/>
    </w:rPr>
  </w:style>
  <w:style w:type="paragraph" w:customStyle="1" w:styleId="Affiliation">
    <w:name w:val="Affiliation"/>
    <w:uiPriority w:val="99"/>
    <w:pPr>
      <w:jc w:val="center"/>
    </w:pPr>
    <w:rPr>
      <w:rFonts w:ascii="Times New Roman" w:hAnsi="Times New Roman"/>
      <w:lang w:val="en-US" w:eastAsia="en-US"/>
    </w:rPr>
  </w:style>
  <w:style w:type="paragraph" w:customStyle="1" w:styleId="Author">
    <w:name w:val="Author"/>
    <w:uiPriority w:val="99"/>
    <w:pPr>
      <w:spacing w:before="360" w:after="40"/>
      <w:jc w:val="center"/>
    </w:pPr>
    <w:rPr>
      <w:rFonts w:ascii="Times New Roman" w:hAnsi="Times New Roman"/>
      <w:noProof/>
      <w:sz w:val="22"/>
      <w:szCs w:val="22"/>
      <w:lang w:val="en-US" w:eastAsia="en-US"/>
    </w:rPr>
  </w:style>
  <w:style w:type="paragraph" w:styleId="a3">
    <w:name w:val="Body Text"/>
    <w:basedOn w:val="a"/>
    <w:link w:val="a4"/>
    <w:uiPriority w:val="99"/>
    <w:rsid w:val="00753F7B"/>
    <w:pPr>
      <w:tabs>
        <w:tab w:val="left" w:pos="288"/>
      </w:tabs>
      <w:spacing w:after="120" w:line="228" w:lineRule="auto"/>
      <w:ind w:firstLine="288"/>
      <w:jc w:val="both"/>
    </w:pPr>
    <w:rPr>
      <w:rFonts w:eastAsia="MS Mincho"/>
      <w:spacing w:val="-1"/>
    </w:rPr>
  </w:style>
  <w:style w:type="character" w:customStyle="1" w:styleId="a4">
    <w:name w:val="Основной текст Знак"/>
    <w:link w:val="a3"/>
    <w:uiPriority w:val="99"/>
    <w:locked/>
    <w:rsid w:val="00753F7B"/>
    <w:rPr>
      <w:rFonts w:ascii="Times New Roman" w:eastAsia="MS Mincho" w:hAnsi="Times New Roman" w:cs="Times New Roman"/>
      <w:sz w:val="20"/>
      <w:szCs w:val="20"/>
    </w:rPr>
  </w:style>
  <w:style w:type="paragraph" w:customStyle="1" w:styleId="bulletlist">
    <w:name w:val="bullet list"/>
    <w:basedOn w:val="a3"/>
    <w:rsid w:val="008054BC"/>
    <w:pPr>
      <w:numPr>
        <w:numId w:val="1"/>
      </w:numPr>
      <w:tabs>
        <w:tab w:val="clear" w:pos="648"/>
      </w:tabs>
      <w:ind w:left="576" w:hanging="288"/>
    </w:pPr>
  </w:style>
  <w:style w:type="paragraph" w:customStyle="1" w:styleId="equation">
    <w:name w:val="equation"/>
    <w:basedOn w:val="a"/>
    <w:uiPriority w:val="99"/>
    <w:rsid w:val="00127ED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3A47B5"/>
    <w:pPr>
      <w:numPr>
        <w:numId w:val="2"/>
      </w:numPr>
      <w:tabs>
        <w:tab w:val="left" w:pos="533"/>
      </w:tabs>
      <w:spacing w:before="80" w:after="200"/>
      <w:ind w:left="0" w:firstLine="0"/>
      <w:jc w:val="both"/>
    </w:pPr>
    <w:rPr>
      <w:rFonts w:ascii="Times New Roman" w:hAnsi="Times New Roman"/>
      <w:noProof/>
      <w:sz w:val="16"/>
      <w:szCs w:val="16"/>
      <w:lang w:val="en-US" w:eastAsia="en-US"/>
    </w:rPr>
  </w:style>
  <w:style w:type="paragraph" w:customStyle="1" w:styleId="footnote">
    <w:name w:val="footnote"/>
    <w:uiPriority w:val="99"/>
    <w:pPr>
      <w:framePr w:hSpace="187" w:vSpace="187" w:wrap="notBeside" w:vAnchor="text" w:hAnchor="page" w:x="6121" w:y="577"/>
      <w:numPr>
        <w:numId w:val="3"/>
      </w:numPr>
      <w:spacing w:after="40"/>
    </w:pPr>
    <w:rPr>
      <w:rFonts w:ascii="Times New Roman" w:hAnsi="Times New Roman"/>
      <w:sz w:val="16"/>
      <w:szCs w:val="16"/>
      <w:lang w:val="en-US" w:eastAsia="en-US"/>
    </w:rPr>
  </w:style>
  <w:style w:type="paragraph" w:customStyle="1" w:styleId="keywords">
    <w:name w:val="key words"/>
    <w:uiPriority w:val="99"/>
    <w:rsid w:val="0097508D"/>
    <w:pPr>
      <w:spacing w:after="120"/>
      <w:ind w:firstLine="274"/>
      <w:jc w:val="both"/>
    </w:pPr>
    <w:rPr>
      <w:rFonts w:ascii="Times New Roman" w:hAnsi="Times New Roman"/>
      <w:b/>
      <w:bCs/>
      <w:i/>
      <w:iCs/>
      <w:noProof/>
      <w:sz w:val="18"/>
      <w:szCs w:val="18"/>
      <w:lang w:val="en-US" w:eastAsia="en-US"/>
    </w:rPr>
  </w:style>
  <w:style w:type="paragraph" w:customStyle="1" w:styleId="papersubtitle">
    <w:name w:val="paper subtitle"/>
    <w:uiPriority w:val="99"/>
    <w:rsid w:val="0097508D"/>
    <w:pPr>
      <w:spacing w:after="120"/>
      <w:jc w:val="center"/>
    </w:pPr>
    <w:rPr>
      <w:rFonts w:ascii="Times New Roman" w:hAnsi="Times New Roman"/>
      <w:bCs/>
      <w:noProof/>
      <w:sz w:val="28"/>
      <w:szCs w:val="28"/>
      <w:lang w:val="en-US" w:eastAsia="en-US"/>
    </w:rPr>
  </w:style>
  <w:style w:type="paragraph" w:customStyle="1" w:styleId="papertitle">
    <w:name w:val="paper title"/>
    <w:uiPriority w:val="99"/>
    <w:rsid w:val="0097508D"/>
    <w:pPr>
      <w:spacing w:after="120"/>
      <w:jc w:val="center"/>
    </w:pPr>
    <w:rPr>
      <w:rFonts w:ascii="Times New Roman" w:hAnsi="Times New Roman"/>
      <w:bCs/>
      <w:noProof/>
      <w:sz w:val="48"/>
      <w:szCs w:val="48"/>
      <w:lang w:val="en-US" w:eastAsia="en-US"/>
    </w:rPr>
  </w:style>
  <w:style w:type="paragraph" w:customStyle="1" w:styleId="references">
    <w:name w:val="references"/>
    <w:uiPriority w:val="99"/>
    <w:rsid w:val="004445B3"/>
    <w:pPr>
      <w:numPr>
        <w:numId w:val="8"/>
      </w:numPr>
      <w:spacing w:after="50" w:line="180" w:lineRule="exact"/>
      <w:jc w:val="both"/>
    </w:pPr>
    <w:rPr>
      <w:rFonts w:ascii="Times New Roman" w:hAnsi="Times New Roman"/>
      <w:noProof/>
      <w:sz w:val="16"/>
      <w:szCs w:val="16"/>
      <w:lang w:val="en-US" w:eastAsia="en-US"/>
    </w:rPr>
  </w:style>
  <w:style w:type="paragraph" w:customStyle="1" w:styleId="sponsors">
    <w:name w:val="sponsors"/>
    <w:pPr>
      <w:framePr w:wrap="auto" w:hAnchor="text" w:x="615" w:y="2239"/>
      <w:pBdr>
        <w:top w:val="single" w:sz="4" w:space="2" w:color="auto"/>
      </w:pBdr>
      <w:ind w:firstLine="288"/>
    </w:pPr>
    <w:rPr>
      <w:rFonts w:ascii="Times New Roman" w:hAnsi="Times New Roman"/>
      <w:sz w:val="16"/>
      <w:szCs w:val="16"/>
      <w:lang w:val="en-US" w:eastAsia="en-US"/>
    </w:rPr>
  </w:style>
  <w:style w:type="paragraph" w:customStyle="1" w:styleId="tablecolhead">
    <w:name w:val="table col head"/>
    <w:basedOn w:val="a"/>
    <w:uiPriority w:val="99"/>
    <w:rPr>
      <w:b/>
      <w:bCs/>
      <w:sz w:val="16"/>
      <w:szCs w:val="16"/>
    </w:rPr>
  </w:style>
  <w:style w:type="paragraph" w:customStyle="1" w:styleId="tablecolsubhead">
    <w:name w:val="table col subhead"/>
    <w:basedOn w:val="tablecolhead"/>
    <w:uiPriority w:val="99"/>
    <w:rPr>
      <w:i/>
      <w:iCs/>
      <w:sz w:val="15"/>
      <w:szCs w:val="15"/>
    </w:rPr>
  </w:style>
  <w:style w:type="paragraph" w:customStyle="1" w:styleId="tablecopy">
    <w:name w:val="table copy"/>
    <w:uiPriority w:val="99"/>
    <w:pPr>
      <w:jc w:val="both"/>
    </w:pPr>
    <w:rPr>
      <w:rFonts w:ascii="Times New Roman" w:hAnsi="Times New Roman"/>
      <w:noProof/>
      <w:sz w:val="16"/>
      <w:szCs w:val="16"/>
      <w:lang w:val="en-US" w:eastAsia="en-US"/>
    </w:rPr>
  </w:style>
  <w:style w:type="paragraph" w:customStyle="1" w:styleId="tablefootnote">
    <w:name w:val="table footnote"/>
    <w:uiPriority w:val="99"/>
    <w:rsid w:val="00CB66E6"/>
    <w:pPr>
      <w:numPr>
        <w:numId w:val="12"/>
      </w:numPr>
      <w:tabs>
        <w:tab w:val="left" w:pos="29"/>
      </w:tabs>
      <w:spacing w:before="60" w:after="30"/>
      <w:ind w:left="360"/>
      <w:jc w:val="right"/>
    </w:pPr>
    <w:rPr>
      <w:rFonts w:ascii="Times New Roman" w:eastAsia="MS Mincho" w:hAnsi="Times New Roman"/>
      <w:sz w:val="12"/>
      <w:szCs w:val="12"/>
      <w:lang w:val="en-US" w:eastAsia="en-US"/>
    </w:rPr>
  </w:style>
  <w:style w:type="paragraph" w:customStyle="1" w:styleId="tablehead">
    <w:name w:val="table head"/>
    <w:uiPriority w:val="99"/>
    <w:pPr>
      <w:numPr>
        <w:numId w:val="9"/>
      </w:numPr>
      <w:spacing w:before="240" w:after="120" w:line="216" w:lineRule="auto"/>
      <w:jc w:val="center"/>
    </w:pPr>
    <w:rPr>
      <w:rFonts w:ascii="Times New Roman" w:hAnsi="Times New Roman"/>
      <w:smallCaps/>
      <w:noProof/>
      <w:sz w:val="16"/>
      <w:szCs w:val="16"/>
      <w:lang w:val="en-US" w:eastAsia="en-US"/>
    </w:rPr>
  </w:style>
  <w:style w:type="paragraph" w:styleId="a5">
    <w:name w:val="Balloon Text"/>
    <w:basedOn w:val="a"/>
    <w:link w:val="a6"/>
    <w:uiPriority w:val="99"/>
    <w:semiHidden/>
    <w:unhideWhenUsed/>
    <w:rsid w:val="00F00AEC"/>
    <w:rPr>
      <w:rFonts w:ascii="Tahoma" w:hAnsi="Tahoma" w:cs="Tahoma"/>
      <w:sz w:val="16"/>
      <w:szCs w:val="16"/>
    </w:rPr>
  </w:style>
  <w:style w:type="character" w:customStyle="1" w:styleId="a6">
    <w:name w:val="Текст выноски Знак"/>
    <w:basedOn w:val="a0"/>
    <w:link w:val="a5"/>
    <w:uiPriority w:val="99"/>
    <w:semiHidden/>
    <w:rsid w:val="00F00AEC"/>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Relationship Id="rId5" Type="http://schemas.openxmlformats.org/officeDocument/2006/relationships/image" Target="media/image1.tif"/><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FuzzySearch\ITMobile\LowEar\Template%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 (1)</Template>
  <TotalTime>2</TotalTime>
  <Pages>2</Pages>
  <Words>997</Words>
  <Characters>5612</Characters>
  <Application>Microsoft Office Word</Application>
  <DocSecurity>0</DocSecurity>
  <Lines>46</Lines>
  <Paragraphs>13</Paragraphs>
  <ScaleCrop>false</ScaleCrop>
  <HeadingPairs>
    <vt:vector size="8" baseType="variant">
      <vt:variant>
        <vt:lpstr>Название</vt:lpstr>
      </vt:variant>
      <vt:variant>
        <vt:i4>1</vt:i4>
      </vt:variant>
      <vt:variant>
        <vt:lpstr>Titolo</vt:lpstr>
      </vt:variant>
      <vt:variant>
        <vt:i4>1</vt:i4>
      </vt:variant>
      <vt:variant>
        <vt:lpstr>Intestazioni</vt:lpstr>
      </vt:variant>
      <vt:variant>
        <vt:i4>16</vt:i4>
      </vt:variant>
      <vt:variant>
        <vt:lpstr>Title</vt:lpstr>
      </vt:variant>
      <vt:variant>
        <vt:i4>1</vt:i4>
      </vt:variant>
    </vt:vector>
  </HeadingPairs>
  <TitlesOfParts>
    <vt:vector size="19" baseType="lpstr">
      <vt:lpstr>Paper Title (use style: paper title)</vt:lpstr>
      <vt:lpstr>Paper Title (use style: paper title)</vt:lpstr>
      <vt:lpstr>Introduction (Heading 1)</vt:lpstr>
      <vt:lpstr>Ease of Use</vt:lpstr>
      <vt:lpstr>    Selecting a Template (Heading 2)</vt:lpstr>
      <vt:lpstr>    Maintaining the Integrity of the Specifications</vt:lpstr>
      <vt:lpstr>Prepare Your Paper Before Styling</vt:lpstr>
      <vt:lpstr>    Abbreviations and Acronyms</vt:lpstr>
      <vt:lpstr>    Units</vt:lpstr>
      <vt:lpstr>    Equations</vt:lpstr>
      <vt:lpstr>    Some Common Mistakes</vt:lpstr>
      <vt:lpstr>Using the Template</vt:lpstr>
      <vt:lpstr>    Authors and Affiliations</vt:lpstr>
      <vt:lpstr>        For author/s of only one affiliation (Heading 3): To change the default, adjust </vt:lpstr>
      <vt:lpstr>        For author/s of more than two affiliations: To change the default, adjust the te</vt:lpstr>
      <vt:lpstr>    Identify the Headings</vt:lpstr>
      <vt:lpstr>    Figures and Tables</vt:lpstr>
      <vt:lpstr>        Positioning Figures and Tables: Place figures and tables at the top and bottom o</vt:lpstr>
      <vt:lpstr>Paper Title (use style: paper title)</vt:lpstr>
    </vt:vector>
  </TitlesOfParts>
  <Company>IEEE</Company>
  <LinksUpToDate>false</LinksUpToDate>
  <CharactersWithSpaces>6596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Администратор</dc:creator>
  <cp:lastModifiedBy>Danil Dintsis</cp:lastModifiedBy>
  <cp:revision>3</cp:revision>
  <dcterms:created xsi:type="dcterms:W3CDTF">2015-09-12T09:39:00Z</dcterms:created>
  <dcterms:modified xsi:type="dcterms:W3CDTF">2015-09-12T09:41:00Z</dcterms:modified>
</cp:coreProperties>
</file>